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9E" w:rsidRDefault="001F1B9E">
      <w:pPr>
        <w:pStyle w:val="ConsPlusTitlePage"/>
      </w:pPr>
      <w:bookmarkStart w:id="0" w:name="_GoBack"/>
      <w:bookmarkEnd w:id="0"/>
      <w:r>
        <w:br/>
      </w:r>
    </w:p>
    <w:p w:rsidR="001F1B9E" w:rsidRDefault="001F1B9E">
      <w:pPr>
        <w:pStyle w:val="ConsPlusNormal"/>
        <w:jc w:val="center"/>
        <w:outlineLvl w:val="0"/>
      </w:pPr>
    </w:p>
    <w:p w:rsidR="001F1B9E" w:rsidRDefault="001F1B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F1B9E" w:rsidRDefault="001F1B9E">
      <w:pPr>
        <w:pStyle w:val="ConsPlusTitle"/>
        <w:jc w:val="center"/>
      </w:pPr>
    </w:p>
    <w:p w:rsidR="001F1B9E" w:rsidRDefault="001F1B9E">
      <w:pPr>
        <w:pStyle w:val="ConsPlusTitle"/>
        <w:jc w:val="center"/>
      </w:pPr>
      <w:r>
        <w:t>ПОСТАНОВЛЕНИЕ</w:t>
      </w:r>
    </w:p>
    <w:p w:rsidR="001F1B9E" w:rsidRDefault="001F1B9E">
      <w:pPr>
        <w:pStyle w:val="ConsPlusTitle"/>
        <w:jc w:val="center"/>
      </w:pPr>
      <w:r>
        <w:t>от 23 декабря 2011 г. N 1115</w:t>
      </w:r>
    </w:p>
    <w:p w:rsidR="001F1B9E" w:rsidRDefault="001F1B9E">
      <w:pPr>
        <w:pStyle w:val="ConsPlusTitle"/>
        <w:jc w:val="center"/>
      </w:pPr>
    </w:p>
    <w:p w:rsidR="001F1B9E" w:rsidRDefault="001F1B9E">
      <w:pPr>
        <w:pStyle w:val="ConsPlusTitle"/>
        <w:jc w:val="center"/>
      </w:pPr>
      <w:r>
        <w:t>О ЕДИНОЙ АВТОМАТИЗИРОВАННОЙ ИНФОРМАЦИОННОЙ СИСТЕМЕ</w:t>
      </w:r>
    </w:p>
    <w:p w:rsidR="001F1B9E" w:rsidRDefault="001F1B9E">
      <w:pPr>
        <w:pStyle w:val="ConsPlusTitle"/>
        <w:jc w:val="center"/>
      </w:pPr>
      <w:r>
        <w:t>ТЕХНИЧЕСКОГО ОСМОТРА ТРАНСПОРТНЫХ СРЕДСТВ</w:t>
      </w:r>
    </w:p>
    <w:p w:rsidR="001F1B9E" w:rsidRDefault="001F1B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1B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1B9E" w:rsidRDefault="001F1B9E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1F1B9E" w:rsidRDefault="001F1B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29.11.2012 </w:t>
            </w:r>
            <w:hyperlink r:id="rId5" w:history="1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1B9E" w:rsidRDefault="001F1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20.11.2018 </w:t>
            </w:r>
            <w:hyperlink r:id="rId6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16.07.2020 </w:t>
            </w:r>
            <w:hyperlink r:id="rId7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1B9E" w:rsidRDefault="001F1B9E">
      <w:pPr>
        <w:pStyle w:val="ConsPlusNormal"/>
        <w:ind w:firstLine="540"/>
        <w:jc w:val="both"/>
      </w:pPr>
    </w:p>
    <w:p w:rsidR="001F1B9E" w:rsidRDefault="001F1B9E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8" w:history="1">
        <w:r>
          <w:rPr>
            <w:color w:val="0000FF"/>
          </w:rPr>
          <w:t>пунктом 3 статьи 7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сбора, обработки, хранения, передачи, использования информации, содержащейся в единой автоматизированной информационной системе технического осмотра транспортных средств, а также обеспечения доступа к этой информации.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2. Установить, что Министерство внутренних дел Российской Федерации является государственным заказчиком создания и эксплуатации единой автоматизированной информационной системы технического осмотра транспортных средств и ее оператором, а также осуществляет координацию деятельности органов и организаций по использованию указанной информационной системы.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3. Министерству внутренних дел Российской Федерации: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обеспечить с 1 января 2012 г. функционирование единой автоматизированной информационной системы технического осмотра транспортных средств;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16.07.2020 N 1053.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2012 г.</w:t>
      </w:r>
    </w:p>
    <w:p w:rsidR="001F1B9E" w:rsidRDefault="001F1B9E">
      <w:pPr>
        <w:pStyle w:val="ConsPlusNormal"/>
        <w:ind w:firstLine="540"/>
        <w:jc w:val="both"/>
      </w:pPr>
    </w:p>
    <w:p w:rsidR="001F1B9E" w:rsidRDefault="001F1B9E">
      <w:pPr>
        <w:pStyle w:val="ConsPlusNormal"/>
        <w:jc w:val="right"/>
      </w:pPr>
      <w:r>
        <w:t>Председатель Правительства</w:t>
      </w:r>
    </w:p>
    <w:p w:rsidR="001F1B9E" w:rsidRDefault="001F1B9E">
      <w:pPr>
        <w:pStyle w:val="ConsPlusNormal"/>
        <w:jc w:val="right"/>
      </w:pPr>
      <w:r>
        <w:t>Российской Федерации</w:t>
      </w:r>
    </w:p>
    <w:p w:rsidR="001F1B9E" w:rsidRDefault="001F1B9E">
      <w:pPr>
        <w:pStyle w:val="ConsPlusNormal"/>
        <w:jc w:val="right"/>
      </w:pPr>
      <w:r>
        <w:t>В.ПУТИН</w:t>
      </w:r>
    </w:p>
    <w:p w:rsidR="001F1B9E" w:rsidRDefault="001F1B9E">
      <w:pPr>
        <w:pStyle w:val="ConsPlusNormal"/>
        <w:jc w:val="right"/>
      </w:pPr>
    </w:p>
    <w:p w:rsidR="001F1B9E" w:rsidRDefault="001F1B9E">
      <w:pPr>
        <w:pStyle w:val="ConsPlusNormal"/>
        <w:jc w:val="right"/>
      </w:pPr>
    </w:p>
    <w:p w:rsidR="001F1B9E" w:rsidRDefault="001F1B9E">
      <w:pPr>
        <w:pStyle w:val="ConsPlusNormal"/>
        <w:jc w:val="right"/>
      </w:pPr>
    </w:p>
    <w:p w:rsidR="001F1B9E" w:rsidRDefault="001F1B9E">
      <w:pPr>
        <w:pStyle w:val="ConsPlusNormal"/>
        <w:jc w:val="right"/>
      </w:pPr>
    </w:p>
    <w:p w:rsidR="001F1B9E" w:rsidRDefault="001F1B9E">
      <w:pPr>
        <w:pStyle w:val="ConsPlusNormal"/>
        <w:jc w:val="right"/>
      </w:pPr>
    </w:p>
    <w:p w:rsidR="001F1B9E" w:rsidRDefault="001F1B9E">
      <w:pPr>
        <w:pStyle w:val="ConsPlusNormal"/>
        <w:jc w:val="right"/>
        <w:outlineLvl w:val="0"/>
      </w:pPr>
      <w:r>
        <w:t>Утверждены</w:t>
      </w:r>
    </w:p>
    <w:p w:rsidR="001F1B9E" w:rsidRDefault="001F1B9E">
      <w:pPr>
        <w:pStyle w:val="ConsPlusNormal"/>
        <w:jc w:val="right"/>
      </w:pPr>
      <w:r>
        <w:t>постановлением Правительства</w:t>
      </w:r>
    </w:p>
    <w:p w:rsidR="001F1B9E" w:rsidRDefault="001F1B9E">
      <w:pPr>
        <w:pStyle w:val="ConsPlusNormal"/>
        <w:jc w:val="right"/>
      </w:pPr>
      <w:r>
        <w:t>Российской Федерации</w:t>
      </w:r>
    </w:p>
    <w:p w:rsidR="001F1B9E" w:rsidRDefault="001F1B9E">
      <w:pPr>
        <w:pStyle w:val="ConsPlusNormal"/>
        <w:jc w:val="right"/>
      </w:pPr>
      <w:r>
        <w:t>от 23 декабря 2011 г. N 1115</w:t>
      </w:r>
    </w:p>
    <w:p w:rsidR="001F1B9E" w:rsidRDefault="001F1B9E">
      <w:pPr>
        <w:pStyle w:val="ConsPlusNormal"/>
        <w:ind w:firstLine="540"/>
        <w:jc w:val="both"/>
      </w:pPr>
    </w:p>
    <w:p w:rsidR="001F1B9E" w:rsidRDefault="001F1B9E">
      <w:pPr>
        <w:pStyle w:val="ConsPlusTitle"/>
        <w:jc w:val="center"/>
      </w:pPr>
      <w:bookmarkStart w:id="1" w:name="P33"/>
      <w:bookmarkEnd w:id="1"/>
      <w:r>
        <w:t>ПРАВИЛА</w:t>
      </w:r>
    </w:p>
    <w:p w:rsidR="001F1B9E" w:rsidRDefault="001F1B9E">
      <w:pPr>
        <w:pStyle w:val="ConsPlusTitle"/>
        <w:jc w:val="center"/>
      </w:pPr>
      <w:r>
        <w:t>СБОРА, ОБРАБОТКИ, ХРАНЕНИЯ, ПЕРЕДАЧИ, ИСПОЛЬЗОВАНИЯ</w:t>
      </w:r>
    </w:p>
    <w:p w:rsidR="001F1B9E" w:rsidRDefault="001F1B9E">
      <w:pPr>
        <w:pStyle w:val="ConsPlusTitle"/>
        <w:jc w:val="center"/>
      </w:pPr>
      <w:r>
        <w:t>ИНФОРМАЦИИ, СОДЕРЖАЩЕЙСЯ В ЕДИНОЙ АВТОМАТИЗИРОВАННОЙ</w:t>
      </w:r>
    </w:p>
    <w:p w:rsidR="001F1B9E" w:rsidRDefault="001F1B9E">
      <w:pPr>
        <w:pStyle w:val="ConsPlusTitle"/>
        <w:jc w:val="center"/>
      </w:pPr>
      <w:r>
        <w:lastRenderedPageBreak/>
        <w:t xml:space="preserve">ИНФОРМАЦИОННОЙ СИСТЕМЕ ТЕХНИЧЕСКОГО ОСМОТРА </w:t>
      </w:r>
      <w:proofErr w:type="gramStart"/>
      <w:r>
        <w:t>ТРАНСПОРТНЫХ</w:t>
      </w:r>
      <w:proofErr w:type="gramEnd"/>
    </w:p>
    <w:p w:rsidR="001F1B9E" w:rsidRDefault="001F1B9E">
      <w:pPr>
        <w:pStyle w:val="ConsPlusTitle"/>
        <w:jc w:val="center"/>
      </w:pPr>
      <w:r>
        <w:t>СРЕДСТВ, А ТАКЖЕ ОБЕСПЕЧЕНИЯ ДОСТУПА К ЭТОЙ ИНФОРМАЦИИ</w:t>
      </w:r>
    </w:p>
    <w:p w:rsidR="001F1B9E" w:rsidRDefault="001F1B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1B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1B9E" w:rsidRDefault="001F1B9E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1F1B9E" w:rsidRDefault="001F1B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29.11.2012 </w:t>
            </w:r>
            <w:hyperlink r:id="rId10" w:history="1">
              <w:r>
                <w:rPr>
                  <w:color w:val="0000FF"/>
                </w:rPr>
                <w:t>N 1236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1B9E" w:rsidRDefault="001F1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20.11.2018 </w:t>
            </w:r>
            <w:hyperlink r:id="rId11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16.07.2020 </w:t>
            </w:r>
            <w:hyperlink r:id="rId12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F1B9E" w:rsidRDefault="001F1B9E">
      <w:pPr>
        <w:pStyle w:val="ConsPlusNormal"/>
        <w:ind w:firstLine="540"/>
        <w:jc w:val="both"/>
      </w:pPr>
    </w:p>
    <w:p w:rsidR="001F1B9E" w:rsidRDefault="001F1B9E">
      <w:pPr>
        <w:pStyle w:val="ConsPlusNormal"/>
        <w:ind w:firstLine="540"/>
        <w:jc w:val="both"/>
      </w:pPr>
      <w:r>
        <w:t>1. Настоящие Правила определяют порядок сбора, обработки, хранения, передачи, использования информации, содержащейся в единой автоматизированной информационной системе технического осмотра транспортных средств (далее - информационная система), обеспечения доступа к этой информации, а также требования к технологическим, программным, лингвистическим и организационным средствам информационной системы.</w:t>
      </w:r>
    </w:p>
    <w:p w:rsidR="001F1B9E" w:rsidRDefault="001F1B9E">
      <w:pPr>
        <w:pStyle w:val="ConsPlusNormal"/>
        <w:spacing w:before="220"/>
        <w:ind w:firstLine="540"/>
        <w:jc w:val="both"/>
      </w:pPr>
      <w:bookmarkStart w:id="2" w:name="P43"/>
      <w:bookmarkEnd w:id="2"/>
      <w:r>
        <w:t>2. Сбору, обработке, хранению, передаче и использованию подлежат: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а) информация об операторах технического осмотра транспортных средств (далее - технический осмотр), предусмотренная </w:t>
      </w:r>
      <w:hyperlink r:id="rId13" w:history="1">
        <w:r>
          <w:rPr>
            <w:color w:val="0000FF"/>
          </w:rPr>
          <w:t>частью 2 статьи 12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Федерации";</w:t>
      </w:r>
    </w:p>
    <w:p w:rsidR="001F1B9E" w:rsidRDefault="001F1B9E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б) сведения, предусмотренные </w:t>
      </w:r>
      <w:hyperlink r:id="rId14" w:history="1">
        <w:r>
          <w:rPr>
            <w:color w:val="0000FF"/>
          </w:rPr>
          <w:t>частью 3 статьи 12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3. Сбор, обработка, хранение, передача и использование информации и сведений, предусмотренных </w:t>
      </w:r>
      <w:hyperlink w:anchor="P43" w:history="1">
        <w:r>
          <w:rPr>
            <w:color w:val="0000FF"/>
          </w:rPr>
          <w:t>пунктом 2</w:t>
        </w:r>
      </w:hyperlink>
      <w:r>
        <w:t xml:space="preserve"> настоящих Правил, осуществляются для информационного обеспечения решения следующих задач: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а) заключение </w:t>
      </w:r>
      <w:proofErr w:type="gramStart"/>
      <w:r>
        <w:t>договора обязательного страхования гражданской ответственности владельцев транспортных средств</w:t>
      </w:r>
      <w:proofErr w:type="gramEnd"/>
      <w:r>
        <w:t>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б) обеспечение прав (законных интересов) владельцев транспортных средств или иных лиц на возмещение вреда, причиненного жизни, здоровью или имуществу вследствие дорожно-транспортных происшествий, причинами которых явились технические неисправности транспортных средств, не выявленные (либо не внесенные в диагностическую карту) оператором технического осмотра;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в) осуществление в установленном порядке контроля профессиональным объединением страховщиков, созданным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"Об обязательном страховании гражданской ответственности владельцев транспортных средств" (далее - профессиональное объединение страховщиков), за деятельностью операторов технического осмотра.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4. Участниками информационного взаимодействия в информационной системе являются следующие органы и организации: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а) оператор информационной системы - Министерство внутренних дел Российской Федерации;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б) профессиональное объединение страховщиков;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в) операторы технического осмотра;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г) исполнительные органы государственной власти субъектов Российской Федерации.</w:t>
      </w:r>
    </w:p>
    <w:p w:rsidR="001F1B9E" w:rsidRDefault="001F1B9E">
      <w:pPr>
        <w:pStyle w:val="ConsPlusNormal"/>
        <w:jc w:val="both"/>
      </w:pPr>
      <w:r>
        <w:t xml:space="preserve">(пп. "г"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16.07.2020 N 1053)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lastRenderedPageBreak/>
        <w:t xml:space="preserve">5. </w:t>
      </w:r>
      <w:proofErr w:type="gramStart"/>
      <w:r>
        <w:t xml:space="preserve">Информация, предусмотренная </w:t>
      </w:r>
      <w:hyperlink r:id="rId1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8" w:history="1">
        <w:r>
          <w:rPr>
            <w:color w:val="0000FF"/>
          </w:rPr>
          <w:t>7 части 2 статьи 12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передаваемая в информационную систему в соответствии с </w:t>
      </w:r>
      <w:hyperlink r:id="rId19" w:history="1">
        <w:r>
          <w:rPr>
            <w:color w:val="0000FF"/>
          </w:rPr>
          <w:t>частью 2.1 статьи 12</w:t>
        </w:r>
      </w:hyperlink>
      <w:r>
        <w:t xml:space="preserve"> указанного Федерального закона, размещается в информационной системе уполномоченными лицами профессионального объединения страховщиков в течение суток с момента внесения такой информации в реестр операторов</w:t>
      </w:r>
      <w:proofErr w:type="gramEnd"/>
      <w:r>
        <w:t xml:space="preserve"> технического осмотра.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45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размещаются уполномоченными лицами операторов технического осмотра непосредственно в информационной системе с соблюдением порядка, установленного </w:t>
      </w:r>
      <w:hyperlink r:id="rId20" w:history="1">
        <w:r>
          <w:rPr>
            <w:color w:val="0000FF"/>
          </w:rPr>
          <w:t>частями 4</w:t>
        </w:r>
      </w:hyperlink>
      <w:r>
        <w:t xml:space="preserve">, </w:t>
      </w:r>
      <w:hyperlink r:id="rId21" w:history="1">
        <w:r>
          <w:rPr>
            <w:color w:val="0000FF"/>
          </w:rPr>
          <w:t>4.2</w:t>
        </w:r>
      </w:hyperlink>
      <w:r>
        <w:t xml:space="preserve"> и </w:t>
      </w:r>
      <w:hyperlink r:id="rId22" w:history="1">
        <w:r>
          <w:rPr>
            <w:color w:val="0000FF"/>
          </w:rPr>
          <w:t>4.3 статьи 12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Размещение сведений в информационной системе осуществляется с применением средств усиленной квалифицированной электронной подписи.</w:t>
      </w:r>
    </w:p>
    <w:p w:rsidR="001F1B9E" w:rsidRDefault="001F1B9E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16.07.2020 N 1053)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6. Доступ к информации и сведениям, содержащимся в информационной системе, обеспечивается оператором информационной системы круглосуточно с соблюдением законодательства Российской Федерации о защите персональных данных. Указанный доступ осуществляется с применением средств усиленной квалифицированной электронной подписи и предоставляется безвозмездно.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7. Обеспечение сертификатами ключей усиленной квалифицированной электронной подписи для размещения информации и сведений в информационной системе и доступа к ним осуществляется удостоверяющими центрами, аккредитованными Министерством цифрового развития, связи и массовых коммуникаций Российской Федерации в порядке, установленном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1F1B9E" w:rsidRDefault="001F1B9E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8. Получение и использование информации и сведений, содержащихся в информационной системе, осуществляются в соответствии с законодательством Российской Федерации об информации, информационных технологиях и защите информации, в том числе уполномоченными лицами:</w:t>
      </w:r>
    </w:p>
    <w:p w:rsidR="001F1B9E" w:rsidRDefault="001F1B9E">
      <w:pPr>
        <w:pStyle w:val="ConsPlusNormal"/>
        <w:spacing w:before="220"/>
        <w:ind w:firstLine="540"/>
        <w:jc w:val="both"/>
      </w:pPr>
      <w:proofErr w:type="gramStart"/>
      <w:r>
        <w:t xml:space="preserve">а) профессионального объединения страховщиков - для информирования страховых организаций при заключении договора обязательного страхования гражданской ответственности владельцев транспортных средств, для проверки соответствия представленных страхователем сведений и реализации права регрессного требования в случаях, предусмотренных </w:t>
      </w:r>
      <w:hyperlink r:id="rId26" w:history="1">
        <w:r>
          <w:rPr>
            <w:color w:val="0000FF"/>
          </w:rPr>
          <w:t>статьей 14</w:t>
        </w:r>
      </w:hyperlink>
      <w:r>
        <w:t xml:space="preserve"> Федерального закона "Об обязательном страховании гражданской ответственности владельцев транспортных средств", а также для осуществления полномочий, установленных </w:t>
      </w:r>
      <w:hyperlink r:id="rId27" w:history="1">
        <w:r>
          <w:rPr>
            <w:color w:val="0000FF"/>
          </w:rPr>
          <w:t>статьей 10</w:t>
        </w:r>
      </w:hyperlink>
      <w:r>
        <w:t xml:space="preserve"> Федерального закона "О техническом осмотре транспортных средств и</w:t>
      </w:r>
      <w:proofErr w:type="gramEnd"/>
      <w:r>
        <w:t xml:space="preserve"> о внесении изменений в отдельные законодательные акты Российской Федерации";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б) операторов технического осмотра - при выдаче дубликата диагностической карты;</w:t>
      </w:r>
    </w:p>
    <w:p w:rsidR="001F1B9E" w:rsidRDefault="001F1B9E">
      <w:pPr>
        <w:pStyle w:val="ConsPlusNormal"/>
        <w:jc w:val="both"/>
      </w:pPr>
      <w:r>
        <w:t xml:space="preserve">(пп. "б"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29.11.2012 N 1236)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в) Министерства внутренних дел Российской Федерации - для выполнения задач и осуществления полномочий, возложенных на органы внутренних дел;</w:t>
      </w:r>
    </w:p>
    <w:p w:rsidR="001F1B9E" w:rsidRDefault="001F1B9E">
      <w:pPr>
        <w:pStyle w:val="ConsPlusNormal"/>
        <w:jc w:val="both"/>
      </w:pPr>
      <w:r>
        <w:t xml:space="preserve">(пп. "в"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16.07.2020 N 1053)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г) исполнительных органов государственной власти субъектов Российской Федерации - для принятия мер по организации проведения технического осмотра транспортных средств и осуществления мониторинга за исполнением законодательства Российской Федерации в области </w:t>
      </w:r>
      <w:r>
        <w:lastRenderedPageBreak/>
        <w:t>технического осмотра на территории субъекта Российской Федерации.</w:t>
      </w:r>
    </w:p>
    <w:p w:rsidR="001F1B9E" w:rsidRDefault="001F1B9E">
      <w:pPr>
        <w:pStyle w:val="ConsPlusNormal"/>
        <w:jc w:val="both"/>
      </w:pPr>
      <w:r>
        <w:t xml:space="preserve">(пп. "г"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16.07.2020 N 1053)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9. Информация и сведения, содержащиеся в информационной системе, и электронные журналы учета операций в информационной системе подлежат ежедневному копированию на резервный материальный носитель, обеспечивающий возможность восстановления содержащихся в них сведений. Хранение резервных материальных носителей осуществляется в течение 5 лет. Обеспечение целостности информации и сведений, содержащихся в информационной системе, осуществляется оператором информационной системы.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10. Технологические, программные, лингвистические и организационные средства информационной системы должны отвечать следующим требованиям: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а) размещение информации и сведений в информационной системе на государственном языке Российской Федерации, за исключением сведений, позволяющих идентифицировать транспортное средство, в которых могут быть использованы латинские буквы;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31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РФ от 16.07.2020 N 1053;</w:t>
      </w:r>
      <w:proofErr w:type="gramEnd"/>
    </w:p>
    <w:p w:rsidR="001F1B9E" w:rsidRDefault="001F1B9E">
      <w:pPr>
        <w:pStyle w:val="ConsPlusNormal"/>
        <w:spacing w:before="220"/>
        <w:ind w:firstLine="540"/>
        <w:jc w:val="both"/>
      </w:pPr>
      <w:r>
        <w:t>в) применение программно-аппаратных средств информационной системы, антивирусной защиты, криптографической защиты информации, защиты информации от несанкционированного доступа, уничтожения, модификации и блокирования доступа к ней, а также от иных неправомерных действий в отношении такой информации, получивших сертификат Федеральной службы безопасности Российской Федерации и (или) Федеральной службы по техническому и экспортному контролю;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г) выполнение операций по ведению электронных журналов учета операций в информационной системе с использованием программного обеспечения и технологических средств, позволяющих обеспечивать учет всех действий по загрузке, изменению и удалению информации в системе, фиксировать точное время, содержание изменений и информацию об уполномоченных лицах участников информационного взаимодействия, осуществлявших указанные действия;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д) исключение возможности несанкционированного доступа к техническим средствам информационной системы;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>е) обеспечение бесперебойной работы по ведению баз данных, защите информационных ресурсов от несанкционированного доступа, обеспечение доступа уполномоченных лиц участников информационного взаимодействия, прошедших идентификацию, аутентификацию и авторизацию в информационной системе;</w:t>
      </w:r>
    </w:p>
    <w:p w:rsidR="001F1B9E" w:rsidRDefault="001F1B9E">
      <w:pPr>
        <w:pStyle w:val="ConsPlusNormal"/>
        <w:spacing w:before="220"/>
        <w:ind w:firstLine="540"/>
        <w:jc w:val="both"/>
      </w:pPr>
      <w:r>
        <w:t xml:space="preserve">ж) утратил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РФ от 16.07.2020 N 1053.</w:t>
      </w:r>
    </w:p>
    <w:p w:rsidR="001F1B9E" w:rsidRDefault="001F1B9E">
      <w:pPr>
        <w:pStyle w:val="ConsPlusNormal"/>
        <w:ind w:firstLine="540"/>
        <w:jc w:val="both"/>
      </w:pPr>
    </w:p>
    <w:p w:rsidR="001F1B9E" w:rsidRDefault="001F1B9E">
      <w:pPr>
        <w:pStyle w:val="ConsPlusNormal"/>
        <w:ind w:firstLine="540"/>
        <w:jc w:val="both"/>
      </w:pPr>
    </w:p>
    <w:p w:rsidR="001F1B9E" w:rsidRDefault="001F1B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E57" w:rsidRDefault="008C7E57"/>
    <w:sectPr w:rsidR="008C7E57" w:rsidSect="006D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9E"/>
    <w:rsid w:val="001F1B9E"/>
    <w:rsid w:val="008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1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1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B38866F7AEEB0F5B64CACC6F640C76455C4DDD911D7429E491D340C00407757ACA2FCE19A7EF83A6518830F36505A62FFD266DE28A9788G6H8I" TargetMode="External"/><Relationship Id="rId13" Type="http://schemas.openxmlformats.org/officeDocument/2006/relationships/hyperlink" Target="consultantplus://offline/ref=E4B38866F7AEEB0F5B64CACC6F640C76455C4DDD911D7429E491D340C00407757ACA2FCE19A7EE87A5518830F36505A62FFD266DE28A9788G6H8I" TargetMode="External"/><Relationship Id="rId18" Type="http://schemas.openxmlformats.org/officeDocument/2006/relationships/hyperlink" Target="consultantplus://offline/ref=E4B38866F7AEEB0F5B64CACC6F640C76455C4DDD911D7429E491D340C00407757ACA2FC712F3BEC2F457DC62A9300BB82EE324G6HFI" TargetMode="External"/><Relationship Id="rId26" Type="http://schemas.openxmlformats.org/officeDocument/2006/relationships/hyperlink" Target="consultantplus://offline/ref=E4B38866F7AEEB0F5B64CACC6F640C76455C4DDE99167429E491D340C00407757ACA2FCE19A7EE84A6518830F36505A62FFD266DE28A9788G6H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B38866F7AEEB0F5B64CACC6F640C76455C4DDD911D7429E491D340C00407757ACA2FCE19A7E4D2F01E896CB73316A62FFD246EFEG8H9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E4B38866F7AEEB0F5B64CACC6F640C76455A43DC981E7429E491D340C00407757ACA2FCE19A7EF86A4518830F36505A62FFD266DE28A9788G6H8I" TargetMode="External"/><Relationship Id="rId12" Type="http://schemas.openxmlformats.org/officeDocument/2006/relationships/hyperlink" Target="consultantplus://offline/ref=E4B38866F7AEEB0F5B64CACC6F640C76455A43DC981E7429E491D340C00407757ACA2FCE19A7EF87A0518830F36505A62FFD266DE28A9788G6H8I" TargetMode="External"/><Relationship Id="rId17" Type="http://schemas.openxmlformats.org/officeDocument/2006/relationships/hyperlink" Target="consultantplus://offline/ref=E4B38866F7AEEB0F5B64CACC6F640C76455C4DDD911D7429E491D340C00407757ACA2FCE19A7EE87A4518830F36505A62FFD266DE28A9788G6H8I" TargetMode="External"/><Relationship Id="rId25" Type="http://schemas.openxmlformats.org/officeDocument/2006/relationships/hyperlink" Target="consultantplus://offline/ref=E4B38866F7AEEB0F5B64CACC6F640C76455843DF95197429E491D340C00407757ACA2FCE19A7EF83A9518830F36505A62FFD266DE28A9788G6H8I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B38866F7AEEB0F5B64CACC6F640C76455A43DC981E7429E491D340C00407757ACA2FCE19A7EF87A3518830F36505A62FFD266DE28A9788G6H8I" TargetMode="External"/><Relationship Id="rId20" Type="http://schemas.openxmlformats.org/officeDocument/2006/relationships/hyperlink" Target="consultantplus://offline/ref=E4B38866F7AEEB0F5B64CACC6F640C76455C4DDD911D7429E491D340C00407757ACA2FCE19A7EE85A1518830F36505A62FFD266DE28A9788G6H8I" TargetMode="External"/><Relationship Id="rId29" Type="http://schemas.openxmlformats.org/officeDocument/2006/relationships/hyperlink" Target="consultantplus://offline/ref=E4B38866F7AEEB0F5B64CACC6F640C76455A43DC981E7429E491D340C00407757ACA2FCE19A7EF87A8518830F36505A62FFD266DE28A9788G6H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B38866F7AEEB0F5B64CACC6F640C76455843DF95197429E491D340C00407757ACA2FCE19A7EF83A9518830F36505A62FFD266DE28A9788G6H8I" TargetMode="External"/><Relationship Id="rId11" Type="http://schemas.openxmlformats.org/officeDocument/2006/relationships/hyperlink" Target="consultantplus://offline/ref=E4B38866F7AEEB0F5B64CACC6F640C76455843DF95197429E491D340C00407757ACA2FCE19A7EF83A9518830F36505A62FFD266DE28A9788G6H8I" TargetMode="External"/><Relationship Id="rId24" Type="http://schemas.openxmlformats.org/officeDocument/2006/relationships/hyperlink" Target="consultantplus://offline/ref=E4B38866F7AEEB0F5B64CACC6F640C76455843DC97187429E491D340C004077568CA77C219A4F186A244DE61B5G3H1I" TargetMode="External"/><Relationship Id="rId32" Type="http://schemas.openxmlformats.org/officeDocument/2006/relationships/hyperlink" Target="consultantplus://offline/ref=E4B38866F7AEEB0F5B64CACC6F640C76455A43DC981E7429E491D340C00407757ACA2FCE19A7EF84A2518830F36505A62FFD266DE28A9788G6H8I" TargetMode="External"/><Relationship Id="rId5" Type="http://schemas.openxmlformats.org/officeDocument/2006/relationships/hyperlink" Target="consultantplus://offline/ref=E4B38866F7AEEB0F5B64CACC6F640C76455942D8901A7429E491D340C00407757ACA2FCE19A7EE84A5518830F36505A62FFD266DE28A9788G6H8I" TargetMode="External"/><Relationship Id="rId15" Type="http://schemas.openxmlformats.org/officeDocument/2006/relationships/hyperlink" Target="consultantplus://offline/ref=E4B38866F7AEEB0F5B64CACC6F640C76455C4DDE99167429E491D340C004077568CA77C219A4F186A244DE61B5G3H1I" TargetMode="External"/><Relationship Id="rId23" Type="http://schemas.openxmlformats.org/officeDocument/2006/relationships/hyperlink" Target="consultantplus://offline/ref=E4B38866F7AEEB0F5B64CACC6F640C76455A43DC981E7429E491D340C00407757ACA2FCE19A7EF87A5518830F36505A62FFD266DE28A9788G6H8I" TargetMode="External"/><Relationship Id="rId28" Type="http://schemas.openxmlformats.org/officeDocument/2006/relationships/hyperlink" Target="consultantplus://offline/ref=E4B38866F7AEEB0F5B64CACC6F640C76455942D8901A7429E491D340C00407757ACA2FCE19A7EE84A5518830F36505A62FFD266DE28A9788G6H8I" TargetMode="External"/><Relationship Id="rId10" Type="http://schemas.openxmlformats.org/officeDocument/2006/relationships/hyperlink" Target="consultantplus://offline/ref=E4B38866F7AEEB0F5B64CACC6F640C76455942D8901A7429E491D340C00407757ACA2FCE19A7EE84A5518830F36505A62FFD266DE28A9788G6H8I" TargetMode="External"/><Relationship Id="rId19" Type="http://schemas.openxmlformats.org/officeDocument/2006/relationships/hyperlink" Target="consultantplus://offline/ref=E4B38866F7AEEB0F5B64CACC6F640C76455C4DDD911D7429E491D340C00407757ACA2FC619ACBBD7E50FD161B42E08A532E1266CGFHDI" TargetMode="External"/><Relationship Id="rId31" Type="http://schemas.openxmlformats.org/officeDocument/2006/relationships/hyperlink" Target="consultantplus://offline/ref=E4B38866F7AEEB0F5B64CACC6F640C76455A43DC981E7429E491D340C00407757ACA2FCE19A7EF84A2518830F36505A62FFD266DE28A9788G6H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B38866F7AEEB0F5B64CACC6F640C76455A43DC981E7429E491D340C00407757ACA2FCE19A7EF87A1518830F36505A62FFD266DE28A9788G6H8I" TargetMode="External"/><Relationship Id="rId14" Type="http://schemas.openxmlformats.org/officeDocument/2006/relationships/hyperlink" Target="consultantplus://offline/ref=E4B38866F7AEEB0F5B64CACC6F640C76455C4DDD911D7429E491D340C00407757ACA2FCE19A7EE84A2518830F36505A62FFD266DE28A9788G6H8I" TargetMode="External"/><Relationship Id="rId22" Type="http://schemas.openxmlformats.org/officeDocument/2006/relationships/hyperlink" Target="consultantplus://offline/ref=E4B38866F7AEEB0F5B64CACC6F640C76455C4DDD911D7429E491D340C00407757ACA2FCE19A6E4D2F01E896CB73316A62FFD246EFEG8H9I" TargetMode="External"/><Relationship Id="rId27" Type="http://schemas.openxmlformats.org/officeDocument/2006/relationships/hyperlink" Target="consultantplus://offline/ref=E4B38866F7AEEB0F5B64CACC6F640C76455C4DDD911D7429E491D340C00407757ACA2FCE19A7EF8EA0518830F36505A62FFD266DE28A9788G6H8I" TargetMode="External"/><Relationship Id="rId30" Type="http://schemas.openxmlformats.org/officeDocument/2006/relationships/hyperlink" Target="consultantplus://offline/ref=E4B38866F7AEEB0F5B64CACC6F640C76455A43DC981E7429E491D340C00407757ACA2FCE19A7EF84A0518830F36505A62FFD266DE28A9788G6H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Шелест Анастасия Леонидовна</cp:lastModifiedBy>
  <cp:revision>1</cp:revision>
  <dcterms:created xsi:type="dcterms:W3CDTF">2021-03-03T08:07:00Z</dcterms:created>
  <dcterms:modified xsi:type="dcterms:W3CDTF">2021-03-03T08:07:00Z</dcterms:modified>
</cp:coreProperties>
</file>